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188 vom 13. Mai 2014</w:t>
      </w:r>
    </w:p>
    <w:p>
      <w:r>
        <w:t>GR Gerichte, 2014-05-13, DE</w:t>
      </w:r>
    </w:p>
    <w:p>
      <w:r>
        <w:rPr>
          <w:b/>
        </w:rPr>
        <w:t xml:space="preserve">Quelle: </w:t>
      </w:r>
      <w:r>
        <w:t>https://mcp.opencaselaw.ch/entscheid/gr_gerichte_R 2013 188</w:t>
      </w:r>
    </w:p>
    <w:p>
      <w:r>
        <w:t>FR: GR_GERICHTE R 2013 188 du 13 mai 2014</w:t>
      </w:r>
    </w:p>
    <w:p>
      <w:r>
        <w:t>IT: GR_GERICHTE R 2013 188 del 13 maggio 2014</w:t>
      </w:r>
    </w:p>
    <w:p>
      <w:pPr>
        <w:pStyle w:val="Heading2"/>
      </w:pPr>
      <w:r>
        <w:t>Regeste</w:t>
      </w:r>
    </w:p>
    <w:p>
      <w:r>
        <w:t>Baugesuch | Baurecht</w:t>
      </w:r>
    </w:p>
    <w:p>
      <w:pPr>
        <w:pStyle w:val="Heading2"/>
      </w:pPr>
      <w:r>
        <w:t>Erwägungen</w:t>
      </w:r>
    </w:p>
    <w:p>
      <w:r>
        <w:rPr>
          <w:b/>
        </w:rPr>
        <w:t>E. 5</w:t>
      </w:r>
    </w:p>
    <w:p>
      <w:r>
        <w:t>Die Gemeinde X._____ (nachfolgend Beschwerdegegnerin) verzichtete am 18. September 2013 unter Verweis auf die angefochtene Baubewilli- gung auf eine Stellungnahme. Zudem überliess sie dem Gericht einige Bilder des Dachgeschosses.</w:t>
      </w:r>
    </w:p>
    <w:p>
      <w:r>
        <w:rPr>
          <w:b/>
        </w:rPr>
        <w:t>E. 6</w:t>
      </w:r>
    </w:p>
    <w:p>
      <w:r>
        <w:t>Der Beschwerdeführer hielt am 26. September 2013 in seiner freigestell- ten Replik an seinen Anträgen fest. Die von der Beschwerdegegnerin ein-</w:t>
      </w:r>
    </w:p>
    <w:p>
      <w:r>
        <w:t>- 4 - gereichten Aufnahmen seien vom Gemeindetechniker in der Zeit vom</w:t>
      </w:r>
    </w:p>
    <w:p>
      <w:r>
        <w:rPr>
          <w:b/>
        </w:rPr>
        <w:t>E. 9</w:t>
      </w:r>
    </w:p>
    <w:p>
      <w:r>
        <w:t>Übergangsbestimmungen zu Art. 75b (Zweitwohnungen) 1 Tritt die entsprechende Gesetzgebung nach Annahme von Art. 75b nicht innerhalb von zwei Jahren in Kraft, so erlässt der Bundesrat die nötigen Ausführungsbestimmungen über Erstellung, Verkauf und Registrierung im Grundbuch durch Verordnung. 2 Baubewilligungen für Zweitwohnungen, die zwischen dem 1. Januar des auf die An- nahme von Art. 75b folgenden Jahres und dem Inkrafttreten der Ausführungsbestim- mungen erteilt werden, sind nichtig. Art. 3 ZwVO Bestehende Wohnungen und Hotelbetriebe 1 Wohnungen, die am 11. März 2012 bereits bestanden oder rechtskräftig bewilligt wa- ren, können im Rahmen der vorbestandenen, anrechenbaren Bruttogeschossfläche und unter Vorbehalt bestehender Nutzungseinschränkungen von Erst- in Zweit- und von Zweit- in Erstwohnungen umgenutzt werden. 2 Die Umnutzung ist insbesondere gerechtfertigt, wenn sie: a. im Zusammenhang mit einer Erbschaft, einem Wohnsitzwechsel oder einer Än- derung des Zivilstands erfolgt; oder b. der Erhaltung des Ortskerns dient. 3 Umnutzungen von Hotelbetrieben, die am 11. März 2012 bereits bestanden, sind im Rahmen von Art. 4 zulässig. Ausnahmsweise können diese auch in nicht qualifiziert tou- ristisch bewirtschaftete Zweitwohnungen umgenutzt werden. Voraussetzung hierfür ist insbesondere eine minimale Bewirtschaftungsdauer von 25 Jahren sowie das Vorliegen eines unabhängigen Gutachtens, welches feststellt, dass der Hotelbetrieb ohne Ver- schulden der Besitzer nicht mehr wirtschaftliche weitergeführt werden kann. 4 Die Umnutzung ist nicht zulässig, wenn sie missbräuchlich ist, insbesondere wenn sie den Neubau einer Erstwohnung zur Folge hat. Die Kantone und Gemeinden ergreifen die nötigen Massnahmen zur Verhinderung von Missbräuchen und unerwünschten Ent- wicklungen. Art. 4 ZwVO Bau neuer Wohnungen In Gemeinden mit einem Anteil von mehr als 20 Prozent Zweitwohnungen dürfen Bewil- ligungen nur für den Bau von Wohnungen erteilt werden, die: a. als Erstwohnungen genutzt werden; oder b. nicht individuell ausgestaltet sind sowie dauerhaft und ausschliesslich zur kurz- zeitigen Nutzung durch Gäste zu marktüblichen Bedingungen angeboten werden, wenn: 1. sie im Rahmen strukturierter Beherbergungsformen bewirtschaftet werden, oder 2. die Eigentümerin oder der Eigentümer im selben Haus wohnt.</w:t>
      </w:r>
    </w:p>
    <w:p>
      <w:r>
        <w:t>- 9 - c) Die Lehre, zuletzt GRIFFEL, Die Umsetzung der Zweitwohnungsinitiative − eine Zwischenbilanz in ZBl 115/2014 S. 59 ff., übte umfassende Kritik an der ZwVO. GRIFFEL führt im erwähnten Aufsatz sogar aus, die ZwVO sei aus seiner Sicht bereits heute weitgehend vom Tisch, wenn das Bundes- gericht im oben erwähnten Urteil klarstelle, dass bis zum Inkrafttreten der gesetzlichen Ausführungsbestimmungen in den betroffenen Gemeinden unmittelbar gestützt auf die Verfassung ein „vorsorgliches Baubewilli- gungsverbot für Zweitwohnungen“ gelte, welches weit auszulegen sei, um eine Präjudizierung der künftigen Ausführungsbestimmungen zu vermei- den. Somit gälten alle Ausnahmen, die in der ZwVO vorgesehen seien je- denfalls nicht, soweit sie heute schon einen bewilligungspflichtigen Tatbe- stand darstellten (GRIFFEL, a.a.O., S. 70). 3. a) Vorliegend beantragt der Beschwerdeführer in materieller Hinsicht unter „A. Obligaziuns specialas“ die Streichung der Ziff. 3 und 4 der angefoch- tenen Baubewilligung, wonach die bewilligte Wohnung als Erstwohnung genutzt werden müsse (Ziff. 3) und das Grundbuchamt B._____ zur Ein- tragung der entsprechenden Anmerkung auf Parzelle 191 im Grundbuch ermächtigt und beauftragt werde (Ziff. 4). Einerseits habe die Wohnung bereits vor Inkrafttreten der Ausführungsgesetzgebung zu Art. 75b BV be- standen, weshalb diese als altrechtlich zu gelten habe und folglich Art. 4 Abs. 1 ZwVO nicht anwendbar sei. Anderseits erfolge durch den Umbau eine Verkleinerung der bereits vorbestehenden Wohnfläche um 6.1 m2. Es würden somit keine neuen Wohnflächen gewonnen, sondern nur in- nerhalb des Gebäudes umplatziert. Diesen Ausführungen hält die Be- schwerdegegnerin im Wesentlichen entgegen, sie habe von der bisheri- gen Nutzung des 3. Obergeschosses als Wohnung keine Kenntnis ge- habt. Folglich habe sie im Baubewilligungsverfahren keine Veranlassung gesehen, weitere Abklärungen zu treffen, zumal der Beschwerdeführer sie habe davon ausgehen lassen, es werde neuer Wohnraum erstellt.</w:t>
      </w:r>
    </w:p>
    <w:p>
      <w:r>
        <w:t>- 10 - b) Den Ausführungen der Beschwerdegegnerin kann − wie sich im vorlie- genden Verfahren gezeigt hat − nicht gefolgt werden. Insbesondere die beigelegten Fotografien des Beschwerdeführers (beschwerdeführerische Akten 7) zeigen klar und deutlich, dass das 3. Obergeschoss bzw. der Dachstock des − vorbestehenden − Hauses auf Parzelle 191 schon früher, nach der durchaus schlüssigen Darlegung des Beschwerdeführers seit Jahrzehnten, wohngenutzt wurde. So führte der Beschwerdeführer in seiner Beschwerde aus, nach der Umgestaltung des Daches im Jahr 1981 sei im 3. Obergeschoss ein grosser Raum als Archiv und ein weite- rer Raum als Kinderspielzimmer benutzt worden, bevor das 3. Ober- geschoss von 1999 bis 2011 als Architekturbüro genutzt worden sei. Die gegenteiligen Ausführungen der Beschwerdegegnerin, wonach trotz Nut- zung des 3. Obergeschosses als Spielzimmer und Büro keine Wohnnut- zung vorhanden gewesen sei, überzeugen nicht, zumal die von der Be- schwerdegegnerin ins Recht gelegten Fotografien (beschwerdegegneri- sche Akten 1 - 4), welche das mehrheitlich lehrstehende 3. Obergeschoss zeigen, unbestrittenermassen erst nach der „Räumung“ des 3. Oberge- schosses Ende August bzw. Anfang September 2013 aufgenommen wur- den. Zudem waren auch die Ver- und Entsorgungsleitungen samt Boiler im 3. Obergeschoss schon seit dem Jahr 1981 vorhanden. Vor diesem Hintergrund stellt aber der Umbau des 2. und 3. Obergeschosses des vorbestandenen Wohnhauses auf Parzelle 191 keine Vergrösserung des Wohnraums dar. Vielmehr erschöpft sich der Umbau, wie der Beschwer- deführer richtig darlegt, in einer neuen Verteilung des Wohnraums unter entsprechenden Umbauten bei etwa gleich bleibender, bzw. sich gar leicht verringernder, Wohnfläche. Im Übrigen kennt das Baugesetz der Gemeinde X._____ keine Definition der BGF und auch keine Aufzählung der anrechenbaren Räume, auf welche vorliegend abgestellt werden könnte. Dies ist hier indes auch nicht erforderlich. Wird aber keine neue Wohneinheit geschaffen und findet im 2. und 3. Obergeschoss keine Er-</w:t>
      </w:r>
    </w:p>
    <w:p>
      <w:r>
        <w:t>- 11 - weiterung oder ein Ersatz der Wohnfläche statt, was von der Beschwer- degegnerin im vorliegenden Verfahren nicht bestritten wird, fällt der ledig- lich den status quo wahrende Umbau nicht unter das vom Bundesgericht erwähnte vorsorgliche Bauverbot, weshalb sich der vom Beschwerdefüh- rer ersuchte Umbau auch nicht auf Art. 3 und 4 der umstrittenen ZwVO abstützen muss. Es liegt kein im Sinne der Zweitwohnungsverfassungs- bestimmungen bewilligungspflichtiger Tatbestand vor. Somit besteht aber auch kein Anlass, die vorbestehende Wohnung zumindest teilweise − was bereits aus praktischen Gründen problematisch wäre − mit einer Erstwoh- nungsverpflichtung zu belasten, weswegen auch die Eintragung der ent- sprechenden Anmerkung im Grundbuch dahinfällt. 4. a) Vor dem Hintergrund der vorstehenden Ausführungen erweisen sich Ziff. 3 und 4 der angefochtenen Baubewilligung als nicht rechtens, was zur Gutheissung der Beschwerde, soweit darauf eingetreten werden kann, sowie zur Aufhebung der Ziff. 3 und 4 der angefochtenen Baubewil- ligung vom 24. Juli 2013 führt. b) Entsprechend dem Ausgang dieses Verfahrens gehen die Gerichtskosten gestützt auf Art. 73 Abs. 1 des Gesetzes über die Verwaltungsrechtspfle- ge (VRG; BR 370.100) zulasten der unterliegenden Beschwerdegegnerin. Eine aussergerichtliche Entschädigung an den obsiegenden Beschwerde- führer ist nicht zuzusprechen, da er nicht anwaltlich vertreten ist.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